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6BEB0111" w:rsidR="00A9315D" w:rsidRPr="00C67BA3" w:rsidRDefault="00475194" w:rsidP="00A9315D">
            <w:pPr>
              <w:rPr>
                <w:rFonts w:ascii="Arial" w:hAnsi="Arial" w:cs="Arial"/>
                <w:b/>
                <w:bCs/>
                <w:color w:val="FFFFFF"/>
                <w:sz w:val="40"/>
                <w:szCs w:val="40"/>
              </w:rPr>
            </w:pPr>
            <w:r>
              <w:rPr>
                <w:rFonts w:ascii="Arial" w:hAnsi="Arial" w:cs="Arial"/>
                <w:b/>
                <w:bCs/>
                <w:color w:val="FFFFFF"/>
                <w:sz w:val="40"/>
                <w:szCs w:val="40"/>
              </w:rPr>
              <w:t xml:space="preserve">Heat Networks and Energy Administrator </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5F112FA9" w:rsidR="00A9315D" w:rsidRPr="00A9315D" w:rsidRDefault="00475194" w:rsidP="00A9315D">
            <w:pPr>
              <w:rPr>
                <w:rFonts w:ascii="Arial" w:hAnsi="Arial" w:cs="Arial"/>
                <w:b/>
                <w:bCs/>
                <w:color w:val="FFFFFF"/>
              </w:rPr>
            </w:pPr>
            <w:r>
              <w:rPr>
                <w:rFonts w:ascii="Arial" w:hAnsi="Arial" w:cs="Arial"/>
                <w:b/>
                <w:bCs/>
                <w:color w:val="FFFFFF"/>
              </w:rPr>
              <w:t xml:space="preserve">Utilities Manager </w:t>
            </w:r>
          </w:p>
        </w:tc>
      </w:tr>
      <w:tr w:rsidR="003D376D" w14:paraId="7EC4A4F7" w14:textId="77777777" w:rsidTr="003D376D">
        <w:trPr>
          <w:trHeight w:val="369"/>
        </w:trPr>
        <w:tc>
          <w:tcPr>
            <w:tcW w:w="2268" w:type="dxa"/>
            <w:shd w:val="clear" w:color="auto" w:fill="002060"/>
            <w:vAlign w:val="center"/>
          </w:tcPr>
          <w:p w14:paraId="6FF7A018" w14:textId="7BE454D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p>
        </w:tc>
        <w:tc>
          <w:tcPr>
            <w:tcW w:w="4759" w:type="dxa"/>
            <w:shd w:val="clear" w:color="auto" w:fill="002060"/>
            <w:vAlign w:val="center"/>
          </w:tcPr>
          <w:p w14:paraId="09C5A7D7" w14:textId="57253D0F"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315E46FA"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r w:rsidR="00C22353">
              <w:rPr>
                <w:rFonts w:ascii="Arial" w:hAnsi="Arial" w:cs="Arial"/>
                <w:b/>
                <w:bCs/>
                <w:color w:val="FFFFFF"/>
              </w:rPr>
              <w:t xml:space="preserve"> </w:t>
            </w:r>
          </w:p>
        </w:tc>
        <w:tc>
          <w:tcPr>
            <w:tcW w:w="4759" w:type="dxa"/>
            <w:shd w:val="clear" w:color="auto" w:fill="002060"/>
            <w:vAlign w:val="center"/>
          </w:tcPr>
          <w:p w14:paraId="78553404" w14:textId="32FD1A73" w:rsidR="00A9315D" w:rsidRPr="00A9315D" w:rsidRDefault="00A9315D" w:rsidP="00A9315D">
            <w:pPr>
              <w:rPr>
                <w:rFonts w:ascii="Arial" w:hAnsi="Arial" w:cs="Arial"/>
                <w:b/>
                <w:bCs/>
                <w:color w:val="FFFFFF"/>
              </w:rPr>
            </w:pP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4FED2F65" w14:textId="77777777" w:rsidR="003D376D" w:rsidRDefault="003D376D" w:rsidP="003D376D">
            <w:pPr>
              <w:rPr>
                <w:rFonts w:ascii="Aptos" w:hAnsi="Aptos" w:cs="Arial"/>
                <w:b/>
                <w:bCs/>
                <w:color w:val="1B2125" w:themeColor="text1" w:themeShade="80"/>
                <w:sz w:val="32"/>
                <w:szCs w:val="32"/>
              </w:rPr>
            </w:pPr>
            <w:r w:rsidRPr="00D04FCB">
              <w:rPr>
                <w:rFonts w:ascii="Aptos" w:hAnsi="Aptos" w:cs="Arial"/>
                <w:b/>
                <w:bCs/>
                <w:color w:val="1B2125" w:themeColor="text1" w:themeShade="80"/>
                <w:sz w:val="32"/>
                <w:szCs w:val="32"/>
              </w:rPr>
              <w:t xml:space="preserve">Role </w:t>
            </w:r>
            <w:r w:rsidR="00C82654" w:rsidRPr="00D04FCB">
              <w:rPr>
                <w:rFonts w:ascii="Aptos" w:hAnsi="Aptos" w:cs="Arial"/>
                <w:b/>
                <w:bCs/>
                <w:color w:val="1B2125" w:themeColor="text1" w:themeShade="80"/>
                <w:sz w:val="32"/>
                <w:szCs w:val="32"/>
              </w:rPr>
              <w:t>p</w:t>
            </w:r>
            <w:r w:rsidRPr="00D04FCB">
              <w:rPr>
                <w:rFonts w:ascii="Aptos" w:hAnsi="Aptos" w:cs="Arial"/>
                <w:b/>
                <w:bCs/>
                <w:color w:val="1B2125" w:themeColor="text1" w:themeShade="80"/>
                <w:sz w:val="32"/>
                <w:szCs w:val="32"/>
              </w:rPr>
              <w:t>urpose</w:t>
            </w:r>
            <w:r w:rsidR="00D712D9" w:rsidRPr="00D04FCB">
              <w:rPr>
                <w:rFonts w:ascii="Aptos" w:hAnsi="Aptos" w:cs="Arial"/>
                <w:b/>
                <w:bCs/>
                <w:color w:val="1B2125" w:themeColor="text1" w:themeShade="80"/>
                <w:sz w:val="32"/>
                <w:szCs w:val="32"/>
              </w:rPr>
              <w:t>:</w:t>
            </w:r>
          </w:p>
          <w:p w14:paraId="09C32488" w14:textId="77777777" w:rsidR="008F5EB1" w:rsidRDefault="008F5EB1" w:rsidP="003D376D">
            <w:pPr>
              <w:rPr>
                <w:rFonts w:ascii="Aptos" w:hAnsi="Aptos" w:cs="Arial"/>
                <w:b/>
                <w:bCs/>
                <w:color w:val="1B2125" w:themeColor="text1" w:themeShade="80"/>
                <w:sz w:val="32"/>
                <w:szCs w:val="32"/>
              </w:rPr>
            </w:pPr>
          </w:p>
          <w:p w14:paraId="2AA67E9A" w14:textId="56AC3423" w:rsidR="008F5EB1" w:rsidRPr="00D04FCB" w:rsidRDefault="008F5EB1" w:rsidP="003D376D">
            <w:pPr>
              <w:rPr>
                <w:rFonts w:ascii="Aptos" w:hAnsi="Aptos" w:cs="Arial"/>
                <w:color w:val="1B2125" w:themeColor="text1" w:themeShade="80"/>
              </w:rPr>
            </w:pPr>
          </w:p>
        </w:tc>
      </w:tr>
      <w:tr w:rsidR="00EA45C6" w:rsidRPr="00EA45C6" w14:paraId="6528BA2A" w14:textId="77777777" w:rsidTr="009962B6">
        <w:trPr>
          <w:trHeight w:val="1232"/>
        </w:trPr>
        <w:tc>
          <w:tcPr>
            <w:tcW w:w="10217" w:type="dxa"/>
            <w:shd w:val="clear" w:color="auto" w:fill="FFFFFF"/>
          </w:tcPr>
          <w:p w14:paraId="62A18D34" w14:textId="200C8BEC" w:rsidR="00315FE3" w:rsidRPr="008F5EB1" w:rsidRDefault="00315FE3" w:rsidP="00315FE3">
            <w:pPr>
              <w:rPr>
                <w:rFonts w:ascii="Aptos" w:hAnsi="Aptos" w:cs="Arial"/>
                <w:sz w:val="24"/>
                <w:szCs w:val="24"/>
              </w:rPr>
            </w:pPr>
            <w:r w:rsidRPr="008F5EB1">
              <w:rPr>
                <w:rFonts w:ascii="Aptos" w:hAnsi="Aptos" w:cs="Arial"/>
                <w:sz w:val="24"/>
                <w:szCs w:val="24"/>
              </w:rPr>
              <w:t>Our energy portfolio has grown through the merger and the development programme</w:t>
            </w:r>
            <w:r w:rsidR="009962B6" w:rsidRPr="008F5EB1">
              <w:rPr>
                <w:rFonts w:ascii="Aptos" w:hAnsi="Aptos" w:cs="Arial"/>
                <w:sz w:val="24"/>
                <w:szCs w:val="24"/>
              </w:rPr>
              <w:t xml:space="preserve"> and with addition of the OFGEM regulations </w:t>
            </w:r>
            <w:r w:rsidR="008F5EB1" w:rsidRPr="008F5EB1">
              <w:rPr>
                <w:rFonts w:ascii="Aptos" w:hAnsi="Aptos" w:cs="Arial"/>
                <w:sz w:val="24"/>
                <w:szCs w:val="24"/>
              </w:rPr>
              <w:t>t</w:t>
            </w:r>
            <w:r w:rsidRPr="008F5EB1">
              <w:rPr>
                <w:rFonts w:ascii="Aptos" w:hAnsi="Aptos" w:cs="Arial"/>
                <w:sz w:val="24"/>
                <w:szCs w:val="24"/>
              </w:rPr>
              <w:t xml:space="preserve">his role is to be the central point for all utility issues, ensuring that our assets are in a database, the broker and suppliers are contract managed, the billing process is managed, and the customer complaints and queries are resolved satisfactorily.  </w:t>
            </w:r>
          </w:p>
          <w:p w14:paraId="338735D3" w14:textId="6498697A" w:rsidR="00EA45C6" w:rsidRPr="009962B6" w:rsidRDefault="00EA45C6" w:rsidP="0024503B">
            <w:pPr>
              <w:rPr>
                <w:rFonts w:ascii="Aptos" w:hAnsi="Aptos"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313BCB52" w14:textId="48A86FCF" w:rsidR="00A431D3" w:rsidRPr="009962B6" w:rsidRDefault="00A431D3" w:rsidP="009962B6">
            <w:pPr>
              <w:pStyle w:val="Heading1"/>
              <w:rPr>
                <w:rFonts w:ascii="Aptos" w:hAnsi="Aptos" w:cs="Arial"/>
                <w:color w:val="1B2125" w:themeColor="text1" w:themeShade="80"/>
              </w:rPr>
            </w:pPr>
          </w:p>
        </w:tc>
      </w:tr>
      <w:tr w:rsidR="00EA45C6" w:rsidRPr="00EA45C6" w14:paraId="5A12DFFE" w14:textId="77777777" w:rsidTr="00EA45C6">
        <w:trPr>
          <w:trHeight w:val="1538"/>
        </w:trPr>
        <w:tc>
          <w:tcPr>
            <w:tcW w:w="10217" w:type="dxa"/>
            <w:shd w:val="clear" w:color="auto" w:fill="FFFFFF"/>
          </w:tcPr>
          <w:p w14:paraId="430BA4ED" w14:textId="77777777" w:rsidR="00C82654" w:rsidRPr="009962B6" w:rsidRDefault="00C82654" w:rsidP="009962B6">
            <w:pPr>
              <w:ind w:left="360"/>
              <w:rPr>
                <w:rFonts w:ascii="Aptos" w:hAnsi="Aptos" w:cs="Arial"/>
                <w:b/>
                <w:bCs/>
                <w:color w:val="1B2125" w:themeColor="text1" w:themeShade="80"/>
                <w:sz w:val="24"/>
                <w:szCs w:val="24"/>
              </w:rPr>
            </w:pPr>
            <w:r w:rsidRPr="009962B6">
              <w:rPr>
                <w:rFonts w:ascii="Aptos" w:hAnsi="Aptos" w:cs="Arial"/>
                <w:b/>
                <w:bCs/>
                <w:color w:val="1B2125" w:themeColor="text1" w:themeShade="80"/>
                <w:sz w:val="24"/>
                <w:szCs w:val="24"/>
              </w:rPr>
              <w:t>Success metrics:</w:t>
            </w:r>
          </w:p>
          <w:p w14:paraId="42A5ABE7" w14:textId="77777777" w:rsidR="00EA45C6" w:rsidRPr="009962B6" w:rsidRDefault="00EA45C6" w:rsidP="009962B6">
            <w:pPr>
              <w:rPr>
                <w:rFonts w:ascii="Aptos" w:hAnsi="Aptos" w:cs="Arial"/>
                <w:color w:val="1B2125" w:themeColor="text1" w:themeShade="80"/>
                <w:sz w:val="24"/>
                <w:szCs w:val="24"/>
              </w:rPr>
            </w:pPr>
          </w:p>
          <w:p w14:paraId="2D1CDF60"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Key result areas:</w:t>
            </w:r>
          </w:p>
          <w:p w14:paraId="47B22B1C" w14:textId="77777777" w:rsidR="009962B6" w:rsidRPr="009962B6" w:rsidRDefault="009962B6" w:rsidP="009962B6">
            <w:pPr>
              <w:ind w:left="360"/>
              <w:rPr>
                <w:rFonts w:ascii="Aptos" w:hAnsi="Aptos" w:cs="Arial"/>
                <w:color w:val="1B2125" w:themeColor="text1" w:themeShade="80"/>
                <w:sz w:val="24"/>
                <w:szCs w:val="24"/>
              </w:rPr>
            </w:pPr>
          </w:p>
          <w:p w14:paraId="192CA4B8"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To support the Utilities Manager in ad hoc tasks and help support the sustainability team in helping residents in reducing energy use</w:t>
            </w:r>
          </w:p>
          <w:p w14:paraId="60B7EEA0" w14:textId="77777777" w:rsidR="009962B6" w:rsidRPr="009962B6" w:rsidRDefault="009962B6" w:rsidP="009962B6">
            <w:pPr>
              <w:ind w:left="360"/>
              <w:rPr>
                <w:rFonts w:ascii="Aptos" w:hAnsi="Aptos" w:cs="Arial"/>
                <w:color w:val="1B2125" w:themeColor="text1" w:themeShade="80"/>
                <w:sz w:val="24"/>
                <w:szCs w:val="24"/>
              </w:rPr>
            </w:pPr>
          </w:p>
          <w:p w14:paraId="0B4A4A6B"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To support with the provision of accurate billing for recharging</w:t>
            </w:r>
          </w:p>
          <w:p w14:paraId="3C1599A0" w14:textId="77777777" w:rsidR="009962B6" w:rsidRPr="009962B6" w:rsidRDefault="009962B6" w:rsidP="009962B6">
            <w:pPr>
              <w:ind w:left="360"/>
              <w:rPr>
                <w:rFonts w:ascii="Aptos" w:hAnsi="Aptos" w:cs="Arial"/>
                <w:color w:val="1B2125" w:themeColor="text1" w:themeShade="80"/>
                <w:sz w:val="24"/>
                <w:szCs w:val="24"/>
              </w:rPr>
            </w:pPr>
          </w:p>
          <w:p w14:paraId="23B37627" w14:textId="4297161D"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 xml:space="preserve">To help enable processes to be embedded to ensure that issues relating to individual meters are addressed with utilities broker and rectified within an agreed </w:t>
            </w:r>
            <w:r w:rsidR="008F5EB1" w:rsidRPr="009962B6">
              <w:rPr>
                <w:rFonts w:ascii="Aptos" w:hAnsi="Aptos" w:cs="Arial"/>
                <w:color w:val="1B2125" w:themeColor="text1" w:themeShade="80"/>
                <w:sz w:val="24"/>
                <w:szCs w:val="24"/>
              </w:rPr>
              <w:t>timescale.</w:t>
            </w:r>
          </w:p>
          <w:p w14:paraId="36C886A4" w14:textId="77777777" w:rsidR="009962B6" w:rsidRPr="009962B6" w:rsidRDefault="009962B6" w:rsidP="009962B6">
            <w:pPr>
              <w:ind w:left="360"/>
              <w:rPr>
                <w:rFonts w:ascii="Aptos" w:hAnsi="Aptos" w:cs="Arial"/>
                <w:color w:val="1B2125" w:themeColor="text1" w:themeShade="80"/>
                <w:sz w:val="24"/>
                <w:szCs w:val="24"/>
              </w:rPr>
            </w:pPr>
          </w:p>
          <w:p w14:paraId="45E21E90"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 xml:space="preserve">Work with service areas across the business to highlight areas where utility costs are not coming through from estates and investigated accordingly. </w:t>
            </w:r>
          </w:p>
          <w:p w14:paraId="0EBB641D" w14:textId="77777777" w:rsidR="009962B6" w:rsidRPr="009962B6" w:rsidRDefault="009962B6" w:rsidP="009962B6">
            <w:pPr>
              <w:ind w:left="360"/>
              <w:rPr>
                <w:rFonts w:ascii="Aptos" w:hAnsi="Aptos" w:cs="Arial"/>
                <w:color w:val="1B2125" w:themeColor="text1" w:themeShade="80"/>
                <w:sz w:val="24"/>
                <w:szCs w:val="24"/>
              </w:rPr>
            </w:pPr>
          </w:p>
          <w:p w14:paraId="45FC724B"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Working with Development to help bring assets onto the main contract and help identify where processes have been failing in ensuring that utility meter information and readings are entered into the housing management system and actioned accordingly.</w:t>
            </w:r>
          </w:p>
          <w:p w14:paraId="00B98536" w14:textId="77777777" w:rsidR="009962B6" w:rsidRPr="009962B6" w:rsidRDefault="009962B6" w:rsidP="009962B6">
            <w:pPr>
              <w:ind w:left="360"/>
              <w:rPr>
                <w:rFonts w:ascii="Aptos" w:hAnsi="Aptos" w:cs="Arial"/>
                <w:color w:val="1B2125" w:themeColor="text1" w:themeShade="80"/>
                <w:sz w:val="24"/>
                <w:szCs w:val="24"/>
              </w:rPr>
            </w:pPr>
          </w:p>
          <w:p w14:paraId="6838138D" w14:textId="61D49926"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 xml:space="preserve">Help with the creation of central database of utility suppliers, identifying where we should be paying and where we are not and actively </w:t>
            </w:r>
            <w:r w:rsidR="008F5EB1" w:rsidRPr="009962B6">
              <w:rPr>
                <w:rFonts w:ascii="Aptos" w:hAnsi="Aptos" w:cs="Arial"/>
                <w:color w:val="1B2125" w:themeColor="text1" w:themeShade="80"/>
                <w:sz w:val="24"/>
                <w:szCs w:val="24"/>
              </w:rPr>
              <w:t>managing</w:t>
            </w:r>
            <w:r w:rsidRPr="009962B6">
              <w:rPr>
                <w:rFonts w:ascii="Aptos" w:hAnsi="Aptos" w:cs="Arial"/>
                <w:color w:val="1B2125" w:themeColor="text1" w:themeShade="80"/>
                <w:sz w:val="24"/>
                <w:szCs w:val="24"/>
              </w:rPr>
              <w:t xml:space="preserve"> the portfolio</w:t>
            </w:r>
          </w:p>
          <w:p w14:paraId="4A52E522" w14:textId="77777777" w:rsidR="009962B6" w:rsidRPr="009962B6" w:rsidRDefault="009962B6" w:rsidP="009962B6">
            <w:pPr>
              <w:ind w:left="360"/>
              <w:rPr>
                <w:rFonts w:ascii="Aptos" w:hAnsi="Aptos" w:cs="Arial"/>
                <w:color w:val="1B2125" w:themeColor="text1" w:themeShade="80"/>
                <w:sz w:val="24"/>
                <w:szCs w:val="24"/>
              </w:rPr>
            </w:pPr>
          </w:p>
          <w:p w14:paraId="692D37A5"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Replacing manual reading meters to automatic reading metering</w:t>
            </w:r>
          </w:p>
          <w:p w14:paraId="06BC9D2C" w14:textId="77777777" w:rsidR="009962B6" w:rsidRPr="009962B6" w:rsidRDefault="009962B6" w:rsidP="009962B6">
            <w:pPr>
              <w:ind w:left="360"/>
              <w:rPr>
                <w:rFonts w:ascii="Aptos" w:hAnsi="Aptos" w:cs="Arial"/>
                <w:color w:val="1B2125" w:themeColor="text1" w:themeShade="80"/>
                <w:sz w:val="24"/>
                <w:szCs w:val="24"/>
              </w:rPr>
            </w:pPr>
          </w:p>
          <w:p w14:paraId="0CE64780" w14:textId="20872789"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 xml:space="preserve">To help with rationalisation of </w:t>
            </w:r>
            <w:r w:rsidR="008F5EB1" w:rsidRPr="009962B6">
              <w:rPr>
                <w:rFonts w:ascii="Aptos" w:hAnsi="Aptos" w:cs="Arial"/>
                <w:color w:val="1B2125" w:themeColor="text1" w:themeShade="80"/>
                <w:sz w:val="24"/>
                <w:szCs w:val="24"/>
              </w:rPr>
              <w:t>providers,</w:t>
            </w:r>
            <w:r w:rsidRPr="009962B6">
              <w:rPr>
                <w:rFonts w:ascii="Aptos" w:hAnsi="Aptos" w:cs="Arial"/>
                <w:color w:val="1B2125" w:themeColor="text1" w:themeShade="80"/>
                <w:sz w:val="24"/>
                <w:szCs w:val="24"/>
              </w:rPr>
              <w:t xml:space="preserve"> to enable simplified billing and reduced supply costs</w:t>
            </w:r>
          </w:p>
          <w:p w14:paraId="7951BAE9" w14:textId="77777777" w:rsidR="009962B6" w:rsidRPr="009962B6" w:rsidRDefault="009962B6" w:rsidP="009962B6">
            <w:pPr>
              <w:ind w:left="360"/>
              <w:rPr>
                <w:rFonts w:ascii="Aptos" w:hAnsi="Aptos" w:cs="Arial"/>
                <w:color w:val="1B2125" w:themeColor="text1" w:themeShade="80"/>
                <w:sz w:val="24"/>
                <w:szCs w:val="24"/>
              </w:rPr>
            </w:pPr>
          </w:p>
          <w:p w14:paraId="4F7C6C70"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 xml:space="preserve">To help with Meter management – which is not currently managed within Peabody around Meter Operator Providers (MOPs), and the change of sites, either onboarding, or offboarding to ensure Peabody is only paying for the bills we are responsible for. </w:t>
            </w:r>
          </w:p>
          <w:p w14:paraId="7358DED3" w14:textId="77777777" w:rsidR="009962B6" w:rsidRPr="009962B6" w:rsidRDefault="009962B6" w:rsidP="009962B6">
            <w:pPr>
              <w:ind w:left="360"/>
              <w:rPr>
                <w:rFonts w:ascii="Aptos" w:hAnsi="Aptos" w:cs="Arial"/>
                <w:color w:val="1B2125" w:themeColor="text1" w:themeShade="80"/>
                <w:sz w:val="24"/>
                <w:szCs w:val="24"/>
              </w:rPr>
            </w:pPr>
          </w:p>
          <w:p w14:paraId="33693233"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 xml:space="preserve">To help with Water billing management which is undertaken in Peabody in an ad hoc manner.  </w:t>
            </w:r>
          </w:p>
          <w:p w14:paraId="65B79795" w14:textId="77777777" w:rsidR="009962B6" w:rsidRPr="009962B6" w:rsidRDefault="009962B6" w:rsidP="009962B6">
            <w:pPr>
              <w:ind w:left="360"/>
              <w:rPr>
                <w:rFonts w:ascii="Aptos" w:hAnsi="Aptos" w:cs="Arial"/>
                <w:color w:val="1B2125" w:themeColor="text1" w:themeShade="80"/>
                <w:sz w:val="24"/>
                <w:szCs w:val="24"/>
              </w:rPr>
            </w:pPr>
          </w:p>
          <w:p w14:paraId="4F3F0CCA"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Undertake the appropriate training/learning (qualification, work-based training, job shadowing, coaching etc.) to enable progression and development</w:t>
            </w:r>
          </w:p>
          <w:p w14:paraId="40DA7D2C" w14:textId="77777777" w:rsidR="009962B6" w:rsidRPr="009962B6" w:rsidRDefault="009962B6" w:rsidP="009962B6">
            <w:pPr>
              <w:ind w:left="360"/>
              <w:rPr>
                <w:rFonts w:ascii="Aptos" w:hAnsi="Aptos" w:cs="Arial"/>
                <w:color w:val="1B2125" w:themeColor="text1" w:themeShade="80"/>
                <w:sz w:val="24"/>
                <w:szCs w:val="24"/>
              </w:rPr>
            </w:pPr>
          </w:p>
          <w:p w14:paraId="1900C805"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To manage and resolve customer complaints, to ensure the provision of excellent customer service to all stakeholders to maximise customer satisfaction</w:t>
            </w:r>
          </w:p>
          <w:p w14:paraId="4E0622C9" w14:textId="77777777" w:rsidR="009962B6" w:rsidRPr="009962B6" w:rsidRDefault="009962B6" w:rsidP="009962B6">
            <w:pPr>
              <w:ind w:left="360"/>
              <w:rPr>
                <w:rFonts w:ascii="Aptos" w:hAnsi="Aptos" w:cs="Arial"/>
                <w:color w:val="1B2125" w:themeColor="text1" w:themeShade="80"/>
                <w:sz w:val="24"/>
                <w:szCs w:val="24"/>
              </w:rPr>
            </w:pPr>
          </w:p>
          <w:p w14:paraId="5C7150FC" w14:textId="77777777" w:rsidR="009962B6" w:rsidRPr="009962B6" w:rsidRDefault="009962B6" w:rsidP="009962B6">
            <w:pPr>
              <w:pStyle w:val="ListParagraph"/>
              <w:numPr>
                <w:ilvl w:val="0"/>
                <w:numId w:val="12"/>
              </w:numPr>
              <w:rPr>
                <w:rFonts w:ascii="Aptos" w:hAnsi="Aptos" w:cs="Arial"/>
                <w:color w:val="1B2125" w:themeColor="text1" w:themeShade="80"/>
                <w:sz w:val="24"/>
                <w:szCs w:val="24"/>
              </w:rPr>
            </w:pPr>
            <w:r w:rsidRPr="009962B6">
              <w:rPr>
                <w:rFonts w:ascii="Aptos" w:hAnsi="Aptos" w:cs="Arial"/>
                <w:color w:val="1B2125" w:themeColor="text1" w:themeShade="80"/>
                <w:sz w:val="24"/>
                <w:szCs w:val="24"/>
              </w:rPr>
              <w:t>Follow Peabody’s Health and Safety policies and procedures to ensure, as far as is practicable, your own safety and that of others in the workplace. You may be required to undertake specific Health and Safety roles such as Fire Warden or First Aider as part of your duties</w:t>
            </w:r>
          </w:p>
          <w:p w14:paraId="023CB6D5" w14:textId="77777777" w:rsidR="009962B6" w:rsidRPr="009962B6" w:rsidRDefault="009962B6" w:rsidP="009962B6">
            <w:pPr>
              <w:ind w:left="360"/>
              <w:rPr>
                <w:rFonts w:ascii="Aptos" w:hAnsi="Aptos" w:cs="Arial"/>
                <w:color w:val="1B2125" w:themeColor="text1" w:themeShade="80"/>
                <w:sz w:val="24"/>
                <w:szCs w:val="24"/>
              </w:rPr>
            </w:pPr>
          </w:p>
          <w:p w14:paraId="6E3EB057" w14:textId="77777777" w:rsidR="009962B6" w:rsidRPr="009962B6" w:rsidRDefault="009962B6" w:rsidP="009962B6">
            <w:pPr>
              <w:ind w:left="360"/>
              <w:rPr>
                <w:rFonts w:ascii="Aptos" w:hAnsi="Aptos" w:cs="Arial"/>
                <w:color w:val="1B2125" w:themeColor="text1" w:themeShade="80"/>
                <w:sz w:val="24"/>
                <w:szCs w:val="24"/>
              </w:rPr>
            </w:pPr>
          </w:p>
          <w:p w14:paraId="75FFE4D4" w14:textId="77777777" w:rsidR="009962B6" w:rsidRPr="009962B6" w:rsidRDefault="009962B6" w:rsidP="009962B6">
            <w:pPr>
              <w:ind w:left="360"/>
              <w:rPr>
                <w:rFonts w:ascii="Aptos" w:hAnsi="Aptos" w:cs="Arial"/>
                <w:color w:val="1B2125" w:themeColor="text1" w:themeShade="80"/>
                <w:sz w:val="24"/>
                <w:szCs w:val="24"/>
              </w:rPr>
            </w:pPr>
          </w:p>
          <w:p w14:paraId="74FA8715" w14:textId="77777777" w:rsidR="009962B6" w:rsidRPr="009962B6" w:rsidRDefault="009962B6" w:rsidP="009962B6">
            <w:pPr>
              <w:ind w:left="360"/>
              <w:rPr>
                <w:rFonts w:ascii="Aptos" w:hAnsi="Aptos" w:cs="Arial"/>
                <w:b/>
                <w:bCs/>
                <w:color w:val="1B2125" w:themeColor="text1" w:themeShade="80"/>
                <w:sz w:val="24"/>
                <w:szCs w:val="24"/>
              </w:rPr>
            </w:pPr>
            <w:r w:rsidRPr="009962B6">
              <w:rPr>
                <w:rFonts w:ascii="Aptos" w:hAnsi="Aptos" w:cs="Arial"/>
                <w:b/>
                <w:bCs/>
                <w:color w:val="1B2125" w:themeColor="text1" w:themeShade="80"/>
                <w:sz w:val="24"/>
                <w:szCs w:val="24"/>
              </w:rPr>
              <w:t>Key performance indicators:</w:t>
            </w:r>
          </w:p>
          <w:p w14:paraId="4A1D2A63" w14:textId="77777777" w:rsidR="009962B6" w:rsidRPr="009962B6" w:rsidRDefault="009962B6" w:rsidP="009962B6">
            <w:pPr>
              <w:ind w:left="360"/>
              <w:rPr>
                <w:rFonts w:ascii="Aptos" w:hAnsi="Aptos" w:cs="Arial"/>
                <w:b/>
                <w:bCs/>
                <w:color w:val="1B2125" w:themeColor="text1" w:themeShade="80"/>
                <w:sz w:val="24"/>
                <w:szCs w:val="24"/>
              </w:rPr>
            </w:pPr>
          </w:p>
          <w:p w14:paraId="5BEFF83F"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Projects delivered on time</w:t>
            </w:r>
          </w:p>
          <w:p w14:paraId="20137263" w14:textId="77777777" w:rsidR="009962B6" w:rsidRPr="009962B6" w:rsidRDefault="009962B6" w:rsidP="009962B6">
            <w:pPr>
              <w:ind w:left="360"/>
              <w:rPr>
                <w:rFonts w:ascii="Aptos" w:hAnsi="Aptos" w:cs="Arial"/>
                <w:color w:val="1B2125" w:themeColor="text1" w:themeShade="80"/>
                <w:sz w:val="24"/>
                <w:szCs w:val="24"/>
              </w:rPr>
            </w:pPr>
          </w:p>
          <w:p w14:paraId="25181037"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Excellent Customer Service</w:t>
            </w:r>
          </w:p>
          <w:p w14:paraId="2732D610" w14:textId="77777777" w:rsidR="009962B6" w:rsidRPr="009962B6" w:rsidRDefault="009962B6" w:rsidP="009962B6">
            <w:pPr>
              <w:ind w:left="360"/>
              <w:rPr>
                <w:rFonts w:ascii="Aptos" w:hAnsi="Aptos" w:cs="Arial"/>
                <w:color w:val="1B2125" w:themeColor="text1" w:themeShade="80"/>
                <w:sz w:val="24"/>
                <w:szCs w:val="24"/>
              </w:rPr>
            </w:pPr>
          </w:p>
          <w:p w14:paraId="644AF39C"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Demonstrates positive Peabody behaviours</w:t>
            </w:r>
          </w:p>
          <w:p w14:paraId="2A7092AC" w14:textId="77777777" w:rsidR="009962B6" w:rsidRPr="009962B6" w:rsidRDefault="009962B6" w:rsidP="009962B6">
            <w:pPr>
              <w:ind w:left="360"/>
              <w:rPr>
                <w:rFonts w:ascii="Aptos" w:hAnsi="Aptos" w:cs="Arial"/>
                <w:color w:val="1B2125" w:themeColor="text1" w:themeShade="80"/>
                <w:sz w:val="24"/>
                <w:szCs w:val="24"/>
              </w:rPr>
            </w:pPr>
          </w:p>
          <w:p w14:paraId="3BB792A6"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Training and development courses completed, and learning integrated into role</w:t>
            </w:r>
          </w:p>
          <w:p w14:paraId="0C81ACB2" w14:textId="77777777" w:rsidR="009962B6" w:rsidRPr="009962B6" w:rsidRDefault="009962B6" w:rsidP="009962B6">
            <w:pPr>
              <w:ind w:left="360"/>
              <w:rPr>
                <w:rFonts w:ascii="Aptos" w:hAnsi="Aptos" w:cs="Arial"/>
                <w:color w:val="1B2125" w:themeColor="text1" w:themeShade="80"/>
                <w:sz w:val="24"/>
                <w:szCs w:val="24"/>
              </w:rPr>
            </w:pPr>
          </w:p>
          <w:p w14:paraId="65CAD997" w14:textId="77777777" w:rsidR="009962B6" w:rsidRPr="009962B6" w:rsidRDefault="009962B6" w:rsidP="009962B6">
            <w:pPr>
              <w:ind w:left="360"/>
              <w:rPr>
                <w:rFonts w:ascii="Aptos" w:hAnsi="Aptos" w:cs="Arial"/>
                <w:b/>
                <w:bCs/>
                <w:color w:val="1B2125" w:themeColor="text1" w:themeShade="80"/>
                <w:sz w:val="24"/>
                <w:szCs w:val="24"/>
              </w:rPr>
            </w:pPr>
            <w:r w:rsidRPr="009962B6">
              <w:rPr>
                <w:rFonts w:ascii="Aptos" w:hAnsi="Aptos" w:cs="Arial"/>
                <w:b/>
                <w:bCs/>
                <w:color w:val="1B2125" w:themeColor="text1" w:themeShade="80"/>
                <w:sz w:val="24"/>
                <w:szCs w:val="24"/>
              </w:rPr>
              <w:t>Skills/experience required:</w:t>
            </w:r>
          </w:p>
          <w:p w14:paraId="320A6726" w14:textId="77777777" w:rsidR="009962B6" w:rsidRPr="009962B6" w:rsidRDefault="009962B6" w:rsidP="009962B6">
            <w:pPr>
              <w:ind w:left="360"/>
              <w:rPr>
                <w:rFonts w:ascii="Aptos" w:hAnsi="Aptos" w:cs="Arial"/>
                <w:b/>
                <w:bCs/>
                <w:color w:val="1B2125" w:themeColor="text1" w:themeShade="80"/>
                <w:sz w:val="24"/>
                <w:szCs w:val="24"/>
              </w:rPr>
            </w:pPr>
          </w:p>
          <w:p w14:paraId="5423E8DB"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Knowledge of Utility Management</w:t>
            </w:r>
          </w:p>
          <w:p w14:paraId="00A9016A" w14:textId="77777777" w:rsidR="009962B6" w:rsidRPr="009962B6" w:rsidRDefault="009962B6" w:rsidP="009962B6">
            <w:pPr>
              <w:ind w:left="360"/>
              <w:rPr>
                <w:rFonts w:ascii="Aptos" w:hAnsi="Aptos" w:cs="Arial"/>
                <w:color w:val="1B2125" w:themeColor="text1" w:themeShade="80"/>
                <w:sz w:val="24"/>
                <w:szCs w:val="24"/>
              </w:rPr>
            </w:pPr>
          </w:p>
          <w:p w14:paraId="6EA7E98A"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Ability to plan, prioritise and coordinate a range of activities</w:t>
            </w:r>
          </w:p>
          <w:p w14:paraId="3AB74F84" w14:textId="77777777" w:rsidR="009962B6" w:rsidRPr="009962B6" w:rsidRDefault="009962B6" w:rsidP="009962B6">
            <w:pPr>
              <w:ind w:left="360"/>
              <w:rPr>
                <w:rFonts w:ascii="Aptos" w:hAnsi="Aptos" w:cs="Arial"/>
                <w:color w:val="1B2125" w:themeColor="text1" w:themeShade="80"/>
                <w:sz w:val="24"/>
                <w:szCs w:val="24"/>
              </w:rPr>
            </w:pPr>
          </w:p>
          <w:p w14:paraId="25724E0D"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Positive approach to learning, acquiring and demonstrating new skills, ways of working and professional behaviours</w:t>
            </w:r>
          </w:p>
          <w:p w14:paraId="2D290D0F" w14:textId="77777777" w:rsidR="009962B6" w:rsidRPr="009962B6" w:rsidRDefault="009962B6" w:rsidP="009962B6">
            <w:pPr>
              <w:ind w:left="360"/>
              <w:rPr>
                <w:rFonts w:ascii="Aptos" w:hAnsi="Aptos" w:cs="Arial"/>
                <w:color w:val="1B2125" w:themeColor="text1" w:themeShade="80"/>
                <w:sz w:val="24"/>
                <w:szCs w:val="24"/>
              </w:rPr>
            </w:pPr>
          </w:p>
          <w:p w14:paraId="1AE6C51A"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Strong interest in customer service</w:t>
            </w:r>
          </w:p>
          <w:p w14:paraId="22244951" w14:textId="77777777" w:rsidR="009962B6" w:rsidRPr="009962B6" w:rsidRDefault="009962B6" w:rsidP="009962B6">
            <w:pPr>
              <w:ind w:left="360"/>
              <w:rPr>
                <w:rFonts w:ascii="Aptos" w:hAnsi="Aptos" w:cs="Arial"/>
                <w:color w:val="1B2125" w:themeColor="text1" w:themeShade="80"/>
                <w:sz w:val="24"/>
                <w:szCs w:val="24"/>
              </w:rPr>
            </w:pPr>
          </w:p>
          <w:p w14:paraId="651D7E37"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Experience of working on projects</w:t>
            </w:r>
          </w:p>
          <w:p w14:paraId="3780035C" w14:textId="77777777" w:rsidR="009962B6" w:rsidRPr="009962B6" w:rsidRDefault="009962B6" w:rsidP="009962B6">
            <w:pPr>
              <w:ind w:left="360"/>
              <w:rPr>
                <w:rFonts w:ascii="Aptos" w:hAnsi="Aptos" w:cs="Arial"/>
                <w:color w:val="1B2125" w:themeColor="text1" w:themeShade="80"/>
                <w:sz w:val="24"/>
                <w:szCs w:val="24"/>
              </w:rPr>
            </w:pPr>
          </w:p>
          <w:p w14:paraId="450DB22B"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Ability to communicate technical information to non-specialists</w:t>
            </w:r>
          </w:p>
          <w:p w14:paraId="3978FBFB" w14:textId="77777777" w:rsidR="009962B6" w:rsidRPr="009962B6" w:rsidRDefault="009962B6" w:rsidP="009962B6">
            <w:pPr>
              <w:ind w:left="360"/>
              <w:rPr>
                <w:rFonts w:ascii="Aptos" w:hAnsi="Aptos" w:cs="Arial"/>
                <w:color w:val="1B2125" w:themeColor="text1" w:themeShade="80"/>
                <w:sz w:val="24"/>
                <w:szCs w:val="24"/>
              </w:rPr>
            </w:pPr>
          </w:p>
          <w:p w14:paraId="71679649"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Experience of data analysis</w:t>
            </w:r>
          </w:p>
          <w:p w14:paraId="2DFD6103" w14:textId="77777777" w:rsidR="009962B6" w:rsidRPr="009962B6" w:rsidRDefault="009962B6" w:rsidP="009962B6">
            <w:pPr>
              <w:ind w:left="360"/>
              <w:rPr>
                <w:rFonts w:ascii="Aptos" w:hAnsi="Aptos" w:cs="Arial"/>
                <w:color w:val="1B2125" w:themeColor="text1" w:themeShade="80"/>
                <w:sz w:val="24"/>
                <w:szCs w:val="24"/>
              </w:rPr>
            </w:pPr>
          </w:p>
          <w:p w14:paraId="6C7F788B"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MS Office skills (Word, Excel, Outlook or similar packages)</w:t>
            </w:r>
          </w:p>
          <w:p w14:paraId="71405F22" w14:textId="77777777" w:rsidR="009962B6" w:rsidRPr="009962B6" w:rsidRDefault="009962B6" w:rsidP="009962B6">
            <w:pPr>
              <w:ind w:left="360"/>
              <w:rPr>
                <w:rFonts w:ascii="Aptos" w:hAnsi="Aptos" w:cs="Arial"/>
                <w:color w:val="1B2125" w:themeColor="text1" w:themeShade="80"/>
                <w:sz w:val="24"/>
                <w:szCs w:val="24"/>
              </w:rPr>
            </w:pPr>
          </w:p>
          <w:p w14:paraId="4D8E9842"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An understanding of energy efficiency and building performance.</w:t>
            </w:r>
          </w:p>
          <w:p w14:paraId="7273EE05" w14:textId="77777777" w:rsidR="009962B6" w:rsidRPr="009962B6" w:rsidRDefault="009962B6" w:rsidP="009962B6">
            <w:pPr>
              <w:ind w:left="360"/>
              <w:rPr>
                <w:rFonts w:ascii="Aptos" w:hAnsi="Aptos" w:cs="Arial"/>
                <w:color w:val="1B2125" w:themeColor="text1" w:themeShade="80"/>
                <w:sz w:val="24"/>
                <w:szCs w:val="24"/>
              </w:rPr>
            </w:pPr>
          </w:p>
          <w:p w14:paraId="647F320C"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Desirable</w:t>
            </w:r>
          </w:p>
          <w:p w14:paraId="7EAFD67D"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Ability to coordinate diverse working relationships</w:t>
            </w:r>
          </w:p>
          <w:p w14:paraId="3AC47B56" w14:textId="77777777" w:rsidR="009962B6" w:rsidRPr="009962B6" w:rsidRDefault="009962B6" w:rsidP="009962B6">
            <w:pPr>
              <w:ind w:left="360"/>
              <w:rPr>
                <w:rFonts w:ascii="Aptos" w:hAnsi="Aptos" w:cs="Arial"/>
                <w:color w:val="1B2125" w:themeColor="text1" w:themeShade="80"/>
                <w:sz w:val="24"/>
                <w:szCs w:val="24"/>
              </w:rPr>
            </w:pPr>
          </w:p>
          <w:p w14:paraId="1EBC6AE2" w14:textId="77777777" w:rsidR="009962B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Understanding of the environmental impact of buildings and property portfolios</w:t>
            </w:r>
          </w:p>
          <w:p w14:paraId="3D5D355F" w14:textId="77777777" w:rsidR="009962B6" w:rsidRPr="009962B6" w:rsidRDefault="009962B6" w:rsidP="009962B6">
            <w:pPr>
              <w:ind w:left="360"/>
              <w:rPr>
                <w:rFonts w:ascii="Aptos" w:hAnsi="Aptos" w:cs="Arial"/>
                <w:color w:val="1B2125" w:themeColor="text1" w:themeShade="80"/>
                <w:sz w:val="24"/>
                <w:szCs w:val="24"/>
              </w:rPr>
            </w:pPr>
          </w:p>
          <w:p w14:paraId="1EE88A6B" w14:textId="029FB4EE" w:rsidR="00EA45C6" w:rsidRPr="009962B6" w:rsidRDefault="009962B6" w:rsidP="009962B6">
            <w:pPr>
              <w:ind w:left="360"/>
              <w:rPr>
                <w:rFonts w:ascii="Aptos" w:hAnsi="Aptos" w:cs="Arial"/>
                <w:color w:val="1B2125" w:themeColor="text1" w:themeShade="80"/>
                <w:sz w:val="24"/>
                <w:szCs w:val="24"/>
              </w:rPr>
            </w:pPr>
            <w:r w:rsidRPr="009962B6">
              <w:rPr>
                <w:rFonts w:ascii="Aptos" w:hAnsi="Aptos" w:cs="Arial"/>
                <w:color w:val="1B2125" w:themeColor="text1" w:themeShade="80"/>
                <w:sz w:val="24"/>
                <w:szCs w:val="24"/>
              </w:rPr>
              <w:t>Knowledge of energy technologies in relation to building and how the law applies to energy services and billing</w:t>
            </w:r>
          </w:p>
        </w:tc>
      </w:tr>
      <w:tr w:rsidR="00EA45C6" w:rsidRPr="00EA45C6" w14:paraId="52FA2D88" w14:textId="77777777" w:rsidTr="00EA45C6">
        <w:trPr>
          <w:trHeight w:val="1538"/>
        </w:trPr>
        <w:tc>
          <w:tcPr>
            <w:tcW w:w="10217" w:type="dxa"/>
            <w:shd w:val="clear" w:color="auto" w:fill="FFFFFF"/>
          </w:tcPr>
          <w:p w14:paraId="2FFE89D3" w14:textId="66D3ACDD" w:rsidR="00103823" w:rsidRPr="009962B6" w:rsidRDefault="00103823" w:rsidP="009962B6">
            <w:pPr>
              <w:rPr>
                <w:rFonts w:ascii="Aptos" w:hAnsi="Aptos" w:cs="Arial"/>
                <w:color w:val="1B2125" w:themeColor="text1" w:themeShade="80"/>
                <w:sz w:val="24"/>
                <w:szCs w:val="24"/>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CDCB" w14:textId="77777777" w:rsidR="00C874E8" w:rsidRDefault="00C874E8" w:rsidP="007961D6">
      <w:pPr>
        <w:spacing w:after="0" w:line="240" w:lineRule="auto"/>
      </w:pPr>
      <w:r>
        <w:separator/>
      </w:r>
    </w:p>
  </w:endnote>
  <w:endnote w:type="continuationSeparator" w:id="0">
    <w:p w14:paraId="0CF88A47" w14:textId="77777777" w:rsidR="00C874E8" w:rsidRDefault="00C874E8" w:rsidP="007961D6">
      <w:pPr>
        <w:spacing w:after="0" w:line="240" w:lineRule="auto"/>
      </w:pPr>
      <w:r>
        <w:continuationSeparator/>
      </w:r>
    </w:p>
  </w:endnote>
  <w:endnote w:type="continuationNotice" w:id="1">
    <w:p w14:paraId="0DF4ED0F" w14:textId="77777777" w:rsidR="00C874E8" w:rsidRDefault="00C87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5EC7" w14:textId="77777777" w:rsidR="00C874E8" w:rsidRDefault="00C874E8" w:rsidP="007961D6">
      <w:pPr>
        <w:spacing w:after="0" w:line="240" w:lineRule="auto"/>
      </w:pPr>
      <w:r>
        <w:separator/>
      </w:r>
    </w:p>
  </w:footnote>
  <w:footnote w:type="continuationSeparator" w:id="0">
    <w:p w14:paraId="0B6BF5D6" w14:textId="77777777" w:rsidR="00C874E8" w:rsidRDefault="00C874E8" w:rsidP="007961D6">
      <w:pPr>
        <w:spacing w:after="0" w:line="240" w:lineRule="auto"/>
      </w:pPr>
      <w:r>
        <w:continuationSeparator/>
      </w:r>
    </w:p>
  </w:footnote>
  <w:footnote w:type="continuationNotice" w:id="1">
    <w:p w14:paraId="190F836E" w14:textId="77777777" w:rsidR="00C874E8" w:rsidRDefault="00C874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F64"/>
    <w:multiLevelType w:val="hybridMultilevel"/>
    <w:tmpl w:val="EBC2F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036674"/>
    <w:multiLevelType w:val="hybridMultilevel"/>
    <w:tmpl w:val="917CDBEA"/>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8267A"/>
    <w:multiLevelType w:val="hybridMultilevel"/>
    <w:tmpl w:val="B03C80FE"/>
    <w:lvl w:ilvl="0" w:tplc="312E109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CE72B3"/>
    <w:multiLevelType w:val="hybridMultilevel"/>
    <w:tmpl w:val="3830FD40"/>
    <w:lvl w:ilvl="0" w:tplc="312E1092">
      <w:numFmt w:val="bullet"/>
      <w:lvlText w:val="•"/>
      <w:lvlJc w:val="left"/>
      <w:pPr>
        <w:ind w:left="1371" w:hanging="720"/>
      </w:pPr>
      <w:rPr>
        <w:rFonts w:ascii="Arial" w:eastAsiaTheme="minorHAnsi" w:hAnsi="Arial" w:cs="Arial"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5"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C63F48"/>
    <w:multiLevelType w:val="hybridMultilevel"/>
    <w:tmpl w:val="ACF489E4"/>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C280C"/>
    <w:multiLevelType w:val="hybridMultilevel"/>
    <w:tmpl w:val="083E7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6D11EA3"/>
    <w:multiLevelType w:val="hybridMultilevel"/>
    <w:tmpl w:val="5CCA2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463E67"/>
    <w:multiLevelType w:val="hybridMultilevel"/>
    <w:tmpl w:val="22C08FB8"/>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F7375"/>
    <w:multiLevelType w:val="hybridMultilevel"/>
    <w:tmpl w:val="29B2F292"/>
    <w:lvl w:ilvl="0" w:tplc="312E109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067489904">
    <w:abstractNumId w:val="1"/>
  </w:num>
  <w:num w:numId="2" w16cid:durableId="1124812953">
    <w:abstractNumId w:val="5"/>
  </w:num>
  <w:num w:numId="3" w16cid:durableId="2131582584">
    <w:abstractNumId w:val="11"/>
  </w:num>
  <w:num w:numId="4" w16cid:durableId="1050113052">
    <w:abstractNumId w:val="10"/>
  </w:num>
  <w:num w:numId="5" w16cid:durableId="409960028">
    <w:abstractNumId w:val="4"/>
  </w:num>
  <w:num w:numId="6" w16cid:durableId="287199429">
    <w:abstractNumId w:val="3"/>
  </w:num>
  <w:num w:numId="7" w16cid:durableId="1337415870">
    <w:abstractNumId w:val="6"/>
  </w:num>
  <w:num w:numId="8" w16cid:durableId="417875100">
    <w:abstractNumId w:val="2"/>
  </w:num>
  <w:num w:numId="9" w16cid:durableId="783230546">
    <w:abstractNumId w:val="9"/>
  </w:num>
  <w:num w:numId="10" w16cid:durableId="544409732">
    <w:abstractNumId w:val="8"/>
  </w:num>
  <w:num w:numId="11" w16cid:durableId="1669357627">
    <w:abstractNumId w:val="0"/>
  </w:num>
  <w:num w:numId="12" w16cid:durableId="95363197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57FA"/>
    <w:rsid w:val="00050C51"/>
    <w:rsid w:val="000619F4"/>
    <w:rsid w:val="00062755"/>
    <w:rsid w:val="000759CB"/>
    <w:rsid w:val="00077D1D"/>
    <w:rsid w:val="0009570B"/>
    <w:rsid w:val="000978C5"/>
    <w:rsid w:val="000A0B3C"/>
    <w:rsid w:val="000A7AA5"/>
    <w:rsid w:val="000A7D52"/>
    <w:rsid w:val="000B2731"/>
    <w:rsid w:val="000C7EF2"/>
    <w:rsid w:val="000E0505"/>
    <w:rsid w:val="000E2B26"/>
    <w:rsid w:val="000F1AD1"/>
    <w:rsid w:val="000F339A"/>
    <w:rsid w:val="00103823"/>
    <w:rsid w:val="00110E16"/>
    <w:rsid w:val="00124C8D"/>
    <w:rsid w:val="00131D24"/>
    <w:rsid w:val="0013489D"/>
    <w:rsid w:val="001406CB"/>
    <w:rsid w:val="00141562"/>
    <w:rsid w:val="00142787"/>
    <w:rsid w:val="00143DD8"/>
    <w:rsid w:val="00145068"/>
    <w:rsid w:val="001503BF"/>
    <w:rsid w:val="001513F9"/>
    <w:rsid w:val="001672FE"/>
    <w:rsid w:val="00170CD0"/>
    <w:rsid w:val="00172E3B"/>
    <w:rsid w:val="00172F39"/>
    <w:rsid w:val="00175633"/>
    <w:rsid w:val="00176417"/>
    <w:rsid w:val="00192454"/>
    <w:rsid w:val="0019522C"/>
    <w:rsid w:val="001A1165"/>
    <w:rsid w:val="001A70AF"/>
    <w:rsid w:val="001B0B66"/>
    <w:rsid w:val="001B5003"/>
    <w:rsid w:val="001D01F4"/>
    <w:rsid w:val="001D09D7"/>
    <w:rsid w:val="001D16F3"/>
    <w:rsid w:val="001E0EE7"/>
    <w:rsid w:val="001E226E"/>
    <w:rsid w:val="001E4D28"/>
    <w:rsid w:val="001E7730"/>
    <w:rsid w:val="001F3FEC"/>
    <w:rsid w:val="001F5337"/>
    <w:rsid w:val="001F53BE"/>
    <w:rsid w:val="00214FAD"/>
    <w:rsid w:val="00216254"/>
    <w:rsid w:val="00216C3D"/>
    <w:rsid w:val="00223CEC"/>
    <w:rsid w:val="0022523C"/>
    <w:rsid w:val="00240CE5"/>
    <w:rsid w:val="0024503B"/>
    <w:rsid w:val="0025177A"/>
    <w:rsid w:val="002550C9"/>
    <w:rsid w:val="002674A3"/>
    <w:rsid w:val="002736A5"/>
    <w:rsid w:val="00274A5A"/>
    <w:rsid w:val="00290093"/>
    <w:rsid w:val="002A0EDC"/>
    <w:rsid w:val="002A19D5"/>
    <w:rsid w:val="002A2B48"/>
    <w:rsid w:val="002A6348"/>
    <w:rsid w:val="002B3FC1"/>
    <w:rsid w:val="002C402C"/>
    <w:rsid w:val="002C6741"/>
    <w:rsid w:val="002D44DF"/>
    <w:rsid w:val="002D53BD"/>
    <w:rsid w:val="002D5958"/>
    <w:rsid w:val="002D6FAD"/>
    <w:rsid w:val="002E32AE"/>
    <w:rsid w:val="002E3839"/>
    <w:rsid w:val="002E4B1E"/>
    <w:rsid w:val="002F4951"/>
    <w:rsid w:val="00315BB9"/>
    <w:rsid w:val="00315FE3"/>
    <w:rsid w:val="0032598F"/>
    <w:rsid w:val="003356B7"/>
    <w:rsid w:val="00343D93"/>
    <w:rsid w:val="00344A1E"/>
    <w:rsid w:val="00350BAC"/>
    <w:rsid w:val="00355923"/>
    <w:rsid w:val="003628D0"/>
    <w:rsid w:val="003664BC"/>
    <w:rsid w:val="0038569E"/>
    <w:rsid w:val="00391C6D"/>
    <w:rsid w:val="00397ED5"/>
    <w:rsid w:val="003B2CC6"/>
    <w:rsid w:val="003B5992"/>
    <w:rsid w:val="003D2884"/>
    <w:rsid w:val="003D376D"/>
    <w:rsid w:val="003E2225"/>
    <w:rsid w:val="003E2882"/>
    <w:rsid w:val="003E2B8A"/>
    <w:rsid w:val="003E43FC"/>
    <w:rsid w:val="003F5ACE"/>
    <w:rsid w:val="0041461B"/>
    <w:rsid w:val="004151EA"/>
    <w:rsid w:val="004152E3"/>
    <w:rsid w:val="004213A2"/>
    <w:rsid w:val="00435418"/>
    <w:rsid w:val="00437353"/>
    <w:rsid w:val="00441576"/>
    <w:rsid w:val="00442AC8"/>
    <w:rsid w:val="00446E03"/>
    <w:rsid w:val="00452452"/>
    <w:rsid w:val="0047471A"/>
    <w:rsid w:val="00475194"/>
    <w:rsid w:val="004767F6"/>
    <w:rsid w:val="00485B68"/>
    <w:rsid w:val="00486A80"/>
    <w:rsid w:val="004A13A7"/>
    <w:rsid w:val="004B12F6"/>
    <w:rsid w:val="004B288B"/>
    <w:rsid w:val="004C0863"/>
    <w:rsid w:val="004C7BFE"/>
    <w:rsid w:val="004D0706"/>
    <w:rsid w:val="004D61DD"/>
    <w:rsid w:val="004D6260"/>
    <w:rsid w:val="004E312E"/>
    <w:rsid w:val="004F7F68"/>
    <w:rsid w:val="00502B55"/>
    <w:rsid w:val="005062D9"/>
    <w:rsid w:val="0051139A"/>
    <w:rsid w:val="00516435"/>
    <w:rsid w:val="0052713E"/>
    <w:rsid w:val="005510B3"/>
    <w:rsid w:val="00553BBD"/>
    <w:rsid w:val="00556938"/>
    <w:rsid w:val="0055774A"/>
    <w:rsid w:val="0056462A"/>
    <w:rsid w:val="005659AA"/>
    <w:rsid w:val="00581565"/>
    <w:rsid w:val="00581996"/>
    <w:rsid w:val="00583DF9"/>
    <w:rsid w:val="005920B9"/>
    <w:rsid w:val="005961F0"/>
    <w:rsid w:val="005B2FF3"/>
    <w:rsid w:val="005B5EC8"/>
    <w:rsid w:val="005B7ABB"/>
    <w:rsid w:val="005C3328"/>
    <w:rsid w:val="005C34AA"/>
    <w:rsid w:val="005C65B7"/>
    <w:rsid w:val="005D57D0"/>
    <w:rsid w:val="005E7501"/>
    <w:rsid w:val="005E7E8E"/>
    <w:rsid w:val="005F251D"/>
    <w:rsid w:val="005F5D3B"/>
    <w:rsid w:val="005F72A2"/>
    <w:rsid w:val="00601050"/>
    <w:rsid w:val="00606A2C"/>
    <w:rsid w:val="00610EA9"/>
    <w:rsid w:val="006158AF"/>
    <w:rsid w:val="00617699"/>
    <w:rsid w:val="00620977"/>
    <w:rsid w:val="0062123A"/>
    <w:rsid w:val="00623658"/>
    <w:rsid w:val="006257B2"/>
    <w:rsid w:val="00626CDB"/>
    <w:rsid w:val="0063036E"/>
    <w:rsid w:val="00635B61"/>
    <w:rsid w:val="00642A59"/>
    <w:rsid w:val="006464F1"/>
    <w:rsid w:val="00651AE8"/>
    <w:rsid w:val="00652704"/>
    <w:rsid w:val="00653A47"/>
    <w:rsid w:val="00657869"/>
    <w:rsid w:val="00657E07"/>
    <w:rsid w:val="006602DF"/>
    <w:rsid w:val="00661392"/>
    <w:rsid w:val="006631CB"/>
    <w:rsid w:val="00665CAA"/>
    <w:rsid w:val="006743C2"/>
    <w:rsid w:val="00681485"/>
    <w:rsid w:val="00682C3D"/>
    <w:rsid w:val="00684773"/>
    <w:rsid w:val="00685339"/>
    <w:rsid w:val="006A57B7"/>
    <w:rsid w:val="006A5B24"/>
    <w:rsid w:val="006B0C13"/>
    <w:rsid w:val="006C0BE7"/>
    <w:rsid w:val="006C1201"/>
    <w:rsid w:val="006C62F0"/>
    <w:rsid w:val="006E0255"/>
    <w:rsid w:val="006E12EA"/>
    <w:rsid w:val="006E170F"/>
    <w:rsid w:val="006E1C5F"/>
    <w:rsid w:val="006F2257"/>
    <w:rsid w:val="006F29A2"/>
    <w:rsid w:val="006F63CD"/>
    <w:rsid w:val="00700C6B"/>
    <w:rsid w:val="0071670C"/>
    <w:rsid w:val="00726126"/>
    <w:rsid w:val="0073118B"/>
    <w:rsid w:val="00732329"/>
    <w:rsid w:val="0073381D"/>
    <w:rsid w:val="00736280"/>
    <w:rsid w:val="00741E0F"/>
    <w:rsid w:val="00742AF2"/>
    <w:rsid w:val="00750419"/>
    <w:rsid w:val="0075136E"/>
    <w:rsid w:val="00753ACE"/>
    <w:rsid w:val="00763DD1"/>
    <w:rsid w:val="00764873"/>
    <w:rsid w:val="007728AC"/>
    <w:rsid w:val="007749D4"/>
    <w:rsid w:val="00777A5E"/>
    <w:rsid w:val="00785399"/>
    <w:rsid w:val="007879A4"/>
    <w:rsid w:val="00792B0C"/>
    <w:rsid w:val="00793B22"/>
    <w:rsid w:val="007961D6"/>
    <w:rsid w:val="007A5BF1"/>
    <w:rsid w:val="007A63ED"/>
    <w:rsid w:val="007C0051"/>
    <w:rsid w:val="007C66B3"/>
    <w:rsid w:val="007D7860"/>
    <w:rsid w:val="007E55CF"/>
    <w:rsid w:val="007F0B45"/>
    <w:rsid w:val="00831FAC"/>
    <w:rsid w:val="00832127"/>
    <w:rsid w:val="00837850"/>
    <w:rsid w:val="008450C3"/>
    <w:rsid w:val="00856A8B"/>
    <w:rsid w:val="00856D3A"/>
    <w:rsid w:val="00857BE1"/>
    <w:rsid w:val="00872461"/>
    <w:rsid w:val="00875263"/>
    <w:rsid w:val="0088408D"/>
    <w:rsid w:val="00894AD2"/>
    <w:rsid w:val="0089749C"/>
    <w:rsid w:val="00897CFF"/>
    <w:rsid w:val="008B3CE6"/>
    <w:rsid w:val="008C7248"/>
    <w:rsid w:val="008D0BD4"/>
    <w:rsid w:val="008D2817"/>
    <w:rsid w:val="008E14A0"/>
    <w:rsid w:val="008E2744"/>
    <w:rsid w:val="008E617E"/>
    <w:rsid w:val="008E739E"/>
    <w:rsid w:val="008F1748"/>
    <w:rsid w:val="008F5EB1"/>
    <w:rsid w:val="009054F5"/>
    <w:rsid w:val="009058D6"/>
    <w:rsid w:val="00913DBB"/>
    <w:rsid w:val="00914323"/>
    <w:rsid w:val="00920361"/>
    <w:rsid w:val="00936F0E"/>
    <w:rsid w:val="00941D4B"/>
    <w:rsid w:val="009510D6"/>
    <w:rsid w:val="0096206D"/>
    <w:rsid w:val="009631E2"/>
    <w:rsid w:val="00965EBF"/>
    <w:rsid w:val="00982D3C"/>
    <w:rsid w:val="00984B67"/>
    <w:rsid w:val="00984CC9"/>
    <w:rsid w:val="00985EFC"/>
    <w:rsid w:val="00986966"/>
    <w:rsid w:val="009934FE"/>
    <w:rsid w:val="00995873"/>
    <w:rsid w:val="009962B6"/>
    <w:rsid w:val="009965D4"/>
    <w:rsid w:val="009A0483"/>
    <w:rsid w:val="009A4F27"/>
    <w:rsid w:val="009A6504"/>
    <w:rsid w:val="009B39DB"/>
    <w:rsid w:val="009B7927"/>
    <w:rsid w:val="009C1147"/>
    <w:rsid w:val="009F19DC"/>
    <w:rsid w:val="009F27E6"/>
    <w:rsid w:val="009F407D"/>
    <w:rsid w:val="00A00132"/>
    <w:rsid w:val="00A01117"/>
    <w:rsid w:val="00A03984"/>
    <w:rsid w:val="00A221F3"/>
    <w:rsid w:val="00A304C6"/>
    <w:rsid w:val="00A36869"/>
    <w:rsid w:val="00A4011A"/>
    <w:rsid w:val="00A42EB3"/>
    <w:rsid w:val="00A431D3"/>
    <w:rsid w:val="00A46FB8"/>
    <w:rsid w:val="00A50BEE"/>
    <w:rsid w:val="00A7147D"/>
    <w:rsid w:val="00A717EB"/>
    <w:rsid w:val="00A72F87"/>
    <w:rsid w:val="00A754C2"/>
    <w:rsid w:val="00A76687"/>
    <w:rsid w:val="00A76C23"/>
    <w:rsid w:val="00A824AA"/>
    <w:rsid w:val="00A92941"/>
    <w:rsid w:val="00A9315D"/>
    <w:rsid w:val="00A95A2F"/>
    <w:rsid w:val="00AA1612"/>
    <w:rsid w:val="00AA26DE"/>
    <w:rsid w:val="00AA52DA"/>
    <w:rsid w:val="00AB0A6E"/>
    <w:rsid w:val="00AB3016"/>
    <w:rsid w:val="00AB50CD"/>
    <w:rsid w:val="00AE5448"/>
    <w:rsid w:val="00AE58B2"/>
    <w:rsid w:val="00AF0E5F"/>
    <w:rsid w:val="00AF49A8"/>
    <w:rsid w:val="00B117F8"/>
    <w:rsid w:val="00B143A5"/>
    <w:rsid w:val="00B2337C"/>
    <w:rsid w:val="00B27CF9"/>
    <w:rsid w:val="00B50562"/>
    <w:rsid w:val="00B50881"/>
    <w:rsid w:val="00B60295"/>
    <w:rsid w:val="00B71E0E"/>
    <w:rsid w:val="00B80370"/>
    <w:rsid w:val="00B82845"/>
    <w:rsid w:val="00B83EA7"/>
    <w:rsid w:val="00B8551C"/>
    <w:rsid w:val="00B91FAC"/>
    <w:rsid w:val="00BA2343"/>
    <w:rsid w:val="00BA3476"/>
    <w:rsid w:val="00BB3E92"/>
    <w:rsid w:val="00BC35A6"/>
    <w:rsid w:val="00BE2C34"/>
    <w:rsid w:val="00BF142C"/>
    <w:rsid w:val="00C01F50"/>
    <w:rsid w:val="00C04FE3"/>
    <w:rsid w:val="00C07809"/>
    <w:rsid w:val="00C129EE"/>
    <w:rsid w:val="00C139F9"/>
    <w:rsid w:val="00C14C70"/>
    <w:rsid w:val="00C1736D"/>
    <w:rsid w:val="00C22353"/>
    <w:rsid w:val="00C2337A"/>
    <w:rsid w:val="00C3184E"/>
    <w:rsid w:val="00C318E4"/>
    <w:rsid w:val="00C35CC4"/>
    <w:rsid w:val="00C36878"/>
    <w:rsid w:val="00C428CF"/>
    <w:rsid w:val="00C67BA3"/>
    <w:rsid w:val="00C749BE"/>
    <w:rsid w:val="00C82654"/>
    <w:rsid w:val="00C874E8"/>
    <w:rsid w:val="00C9082A"/>
    <w:rsid w:val="00C90E3B"/>
    <w:rsid w:val="00C950A4"/>
    <w:rsid w:val="00CA3F38"/>
    <w:rsid w:val="00CA5EE2"/>
    <w:rsid w:val="00CC4B36"/>
    <w:rsid w:val="00CD0A55"/>
    <w:rsid w:val="00CD163D"/>
    <w:rsid w:val="00CD5F19"/>
    <w:rsid w:val="00CE4661"/>
    <w:rsid w:val="00CE4A0E"/>
    <w:rsid w:val="00CE5C36"/>
    <w:rsid w:val="00D04FCB"/>
    <w:rsid w:val="00D22D05"/>
    <w:rsid w:val="00D34629"/>
    <w:rsid w:val="00D4631A"/>
    <w:rsid w:val="00D47482"/>
    <w:rsid w:val="00D56C7D"/>
    <w:rsid w:val="00D60CC6"/>
    <w:rsid w:val="00D6227D"/>
    <w:rsid w:val="00D712D9"/>
    <w:rsid w:val="00D77732"/>
    <w:rsid w:val="00D844CD"/>
    <w:rsid w:val="00D959F1"/>
    <w:rsid w:val="00D968E7"/>
    <w:rsid w:val="00DA03F0"/>
    <w:rsid w:val="00DA08F2"/>
    <w:rsid w:val="00DA5E48"/>
    <w:rsid w:val="00DB22E1"/>
    <w:rsid w:val="00DB71FA"/>
    <w:rsid w:val="00DC70B4"/>
    <w:rsid w:val="00DC79B0"/>
    <w:rsid w:val="00DD26B9"/>
    <w:rsid w:val="00DD6638"/>
    <w:rsid w:val="00DE13A5"/>
    <w:rsid w:val="00DE1A9D"/>
    <w:rsid w:val="00DE73FA"/>
    <w:rsid w:val="00DF2A1B"/>
    <w:rsid w:val="00E01513"/>
    <w:rsid w:val="00E12238"/>
    <w:rsid w:val="00E13337"/>
    <w:rsid w:val="00E13895"/>
    <w:rsid w:val="00E30CB6"/>
    <w:rsid w:val="00E31D99"/>
    <w:rsid w:val="00E62A0E"/>
    <w:rsid w:val="00E64CDF"/>
    <w:rsid w:val="00E70024"/>
    <w:rsid w:val="00E718F5"/>
    <w:rsid w:val="00E81A4F"/>
    <w:rsid w:val="00E92005"/>
    <w:rsid w:val="00E95AE4"/>
    <w:rsid w:val="00EA0F89"/>
    <w:rsid w:val="00EA45C6"/>
    <w:rsid w:val="00EA7253"/>
    <w:rsid w:val="00EB6E04"/>
    <w:rsid w:val="00ED0E1B"/>
    <w:rsid w:val="00ED3F37"/>
    <w:rsid w:val="00ED6C61"/>
    <w:rsid w:val="00ED75AF"/>
    <w:rsid w:val="00EE0B3C"/>
    <w:rsid w:val="00EE4119"/>
    <w:rsid w:val="00EE6181"/>
    <w:rsid w:val="00EF1B4D"/>
    <w:rsid w:val="00EF4235"/>
    <w:rsid w:val="00EF783C"/>
    <w:rsid w:val="00F007AB"/>
    <w:rsid w:val="00F05607"/>
    <w:rsid w:val="00F169EE"/>
    <w:rsid w:val="00F177A6"/>
    <w:rsid w:val="00F212E3"/>
    <w:rsid w:val="00F2559B"/>
    <w:rsid w:val="00F25B14"/>
    <w:rsid w:val="00F27750"/>
    <w:rsid w:val="00F329DA"/>
    <w:rsid w:val="00F33FC3"/>
    <w:rsid w:val="00F52A04"/>
    <w:rsid w:val="00F6295D"/>
    <w:rsid w:val="00F67576"/>
    <w:rsid w:val="00F9503C"/>
    <w:rsid w:val="00F95861"/>
    <w:rsid w:val="00FA44CC"/>
    <w:rsid w:val="00FB078A"/>
    <w:rsid w:val="00FB35F0"/>
    <w:rsid w:val="00FC5B67"/>
    <w:rsid w:val="00FC5CC7"/>
    <w:rsid w:val="00FD6804"/>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paragraph" w:styleId="Heading1">
    <w:name w:val="heading 1"/>
    <w:basedOn w:val="Normal"/>
    <w:next w:val="Normal"/>
    <w:link w:val="Heading1Char"/>
    <w:uiPriority w:val="9"/>
    <w:qFormat/>
    <w:rsid w:val="009962B6"/>
    <w:pPr>
      <w:keepNext/>
      <w:keepLines/>
      <w:spacing w:before="240" w:after="0"/>
      <w:outlineLvl w:val="0"/>
    </w:pPr>
    <w:rPr>
      <w:rFonts w:asciiTheme="majorHAnsi" w:eastAsiaTheme="majorEastAsia" w:hAnsiTheme="majorHAnsi" w:cstheme="majorBidi"/>
      <w:color w:val="89320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styleId="BodyText3">
    <w:name w:val="Body Text 3"/>
    <w:basedOn w:val="Normal"/>
    <w:link w:val="BodyText3Char"/>
    <w:uiPriority w:val="99"/>
    <w:semiHidden/>
    <w:unhideWhenUsed/>
    <w:rsid w:val="008D0BD4"/>
    <w:pPr>
      <w:spacing w:after="120"/>
    </w:pPr>
    <w:rPr>
      <w:sz w:val="16"/>
      <w:szCs w:val="16"/>
    </w:rPr>
  </w:style>
  <w:style w:type="character" w:customStyle="1" w:styleId="BodyText3Char">
    <w:name w:val="Body Text 3 Char"/>
    <w:basedOn w:val="DefaultParagraphFont"/>
    <w:link w:val="BodyText3"/>
    <w:uiPriority w:val="99"/>
    <w:semiHidden/>
    <w:rsid w:val="008D0BD4"/>
    <w:rPr>
      <w:sz w:val="16"/>
      <w:szCs w:val="16"/>
    </w:rPr>
  </w:style>
  <w:style w:type="paragraph" w:customStyle="1" w:styleId="paragraph">
    <w:name w:val="paragraph"/>
    <w:basedOn w:val="Normal"/>
    <w:rsid w:val="009A65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6504"/>
  </w:style>
  <w:style w:type="character" w:customStyle="1" w:styleId="eop">
    <w:name w:val="eop"/>
    <w:basedOn w:val="DefaultParagraphFont"/>
    <w:rsid w:val="009A6504"/>
  </w:style>
  <w:style w:type="character" w:customStyle="1" w:styleId="scxw77481926">
    <w:name w:val="scxw77481926"/>
    <w:basedOn w:val="DefaultParagraphFont"/>
    <w:rsid w:val="009A6504"/>
  </w:style>
  <w:style w:type="character" w:customStyle="1" w:styleId="scxw128870065">
    <w:name w:val="scxw128870065"/>
    <w:basedOn w:val="DefaultParagraphFont"/>
    <w:rsid w:val="001513F9"/>
  </w:style>
  <w:style w:type="character" w:customStyle="1" w:styleId="Heading1Char">
    <w:name w:val="Heading 1 Char"/>
    <w:basedOn w:val="DefaultParagraphFont"/>
    <w:link w:val="Heading1"/>
    <w:uiPriority w:val="9"/>
    <w:rsid w:val="009962B6"/>
    <w:rPr>
      <w:rFonts w:asciiTheme="majorHAnsi" w:eastAsiaTheme="majorEastAsia" w:hAnsiTheme="majorHAnsi" w:cstheme="majorBidi"/>
      <w:color w:val="893209"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327173344">
      <w:bodyDiv w:val="1"/>
      <w:marLeft w:val="0"/>
      <w:marRight w:val="0"/>
      <w:marTop w:val="0"/>
      <w:marBottom w:val="0"/>
      <w:divBdr>
        <w:top w:val="none" w:sz="0" w:space="0" w:color="auto"/>
        <w:left w:val="none" w:sz="0" w:space="0" w:color="auto"/>
        <w:bottom w:val="none" w:sz="0" w:space="0" w:color="auto"/>
        <w:right w:val="none" w:sz="0" w:space="0" w:color="auto"/>
      </w:divBdr>
      <w:divsChild>
        <w:div w:id="418719822">
          <w:marLeft w:val="0"/>
          <w:marRight w:val="0"/>
          <w:marTop w:val="0"/>
          <w:marBottom w:val="0"/>
          <w:divBdr>
            <w:top w:val="none" w:sz="0" w:space="0" w:color="auto"/>
            <w:left w:val="none" w:sz="0" w:space="0" w:color="auto"/>
            <w:bottom w:val="none" w:sz="0" w:space="0" w:color="auto"/>
            <w:right w:val="none" w:sz="0" w:space="0" w:color="auto"/>
          </w:divBdr>
        </w:div>
        <w:div w:id="1506819040">
          <w:marLeft w:val="0"/>
          <w:marRight w:val="0"/>
          <w:marTop w:val="0"/>
          <w:marBottom w:val="0"/>
          <w:divBdr>
            <w:top w:val="none" w:sz="0" w:space="0" w:color="auto"/>
            <w:left w:val="none" w:sz="0" w:space="0" w:color="auto"/>
            <w:bottom w:val="none" w:sz="0" w:space="0" w:color="auto"/>
            <w:right w:val="none" w:sz="0" w:space="0" w:color="auto"/>
          </w:divBdr>
        </w:div>
        <w:div w:id="168374368">
          <w:marLeft w:val="0"/>
          <w:marRight w:val="0"/>
          <w:marTop w:val="0"/>
          <w:marBottom w:val="0"/>
          <w:divBdr>
            <w:top w:val="none" w:sz="0" w:space="0" w:color="auto"/>
            <w:left w:val="none" w:sz="0" w:space="0" w:color="auto"/>
            <w:bottom w:val="none" w:sz="0" w:space="0" w:color="auto"/>
            <w:right w:val="none" w:sz="0" w:space="0" w:color="auto"/>
          </w:divBdr>
        </w:div>
        <w:div w:id="1892618804">
          <w:marLeft w:val="0"/>
          <w:marRight w:val="0"/>
          <w:marTop w:val="0"/>
          <w:marBottom w:val="0"/>
          <w:divBdr>
            <w:top w:val="none" w:sz="0" w:space="0" w:color="auto"/>
            <w:left w:val="none" w:sz="0" w:space="0" w:color="auto"/>
            <w:bottom w:val="none" w:sz="0" w:space="0" w:color="auto"/>
            <w:right w:val="none" w:sz="0" w:space="0" w:color="auto"/>
          </w:divBdr>
        </w:div>
        <w:div w:id="1455295399">
          <w:marLeft w:val="0"/>
          <w:marRight w:val="0"/>
          <w:marTop w:val="0"/>
          <w:marBottom w:val="0"/>
          <w:divBdr>
            <w:top w:val="none" w:sz="0" w:space="0" w:color="auto"/>
            <w:left w:val="none" w:sz="0" w:space="0" w:color="auto"/>
            <w:bottom w:val="none" w:sz="0" w:space="0" w:color="auto"/>
            <w:right w:val="none" w:sz="0" w:space="0" w:color="auto"/>
          </w:divBdr>
        </w:div>
        <w:div w:id="1204772">
          <w:marLeft w:val="0"/>
          <w:marRight w:val="0"/>
          <w:marTop w:val="0"/>
          <w:marBottom w:val="0"/>
          <w:divBdr>
            <w:top w:val="none" w:sz="0" w:space="0" w:color="auto"/>
            <w:left w:val="none" w:sz="0" w:space="0" w:color="auto"/>
            <w:bottom w:val="none" w:sz="0" w:space="0" w:color="auto"/>
            <w:right w:val="none" w:sz="0" w:space="0" w:color="auto"/>
          </w:divBdr>
        </w:div>
        <w:div w:id="1525560946">
          <w:marLeft w:val="0"/>
          <w:marRight w:val="0"/>
          <w:marTop w:val="0"/>
          <w:marBottom w:val="0"/>
          <w:divBdr>
            <w:top w:val="none" w:sz="0" w:space="0" w:color="auto"/>
            <w:left w:val="none" w:sz="0" w:space="0" w:color="auto"/>
            <w:bottom w:val="none" w:sz="0" w:space="0" w:color="auto"/>
            <w:right w:val="none" w:sz="0" w:space="0" w:color="auto"/>
          </w:divBdr>
        </w:div>
        <w:div w:id="1088120010">
          <w:marLeft w:val="0"/>
          <w:marRight w:val="0"/>
          <w:marTop w:val="0"/>
          <w:marBottom w:val="0"/>
          <w:divBdr>
            <w:top w:val="none" w:sz="0" w:space="0" w:color="auto"/>
            <w:left w:val="none" w:sz="0" w:space="0" w:color="auto"/>
            <w:bottom w:val="none" w:sz="0" w:space="0" w:color="auto"/>
            <w:right w:val="none" w:sz="0" w:space="0" w:color="auto"/>
          </w:divBdr>
        </w:div>
        <w:div w:id="737215385">
          <w:marLeft w:val="0"/>
          <w:marRight w:val="0"/>
          <w:marTop w:val="0"/>
          <w:marBottom w:val="0"/>
          <w:divBdr>
            <w:top w:val="none" w:sz="0" w:space="0" w:color="auto"/>
            <w:left w:val="none" w:sz="0" w:space="0" w:color="auto"/>
            <w:bottom w:val="none" w:sz="0" w:space="0" w:color="auto"/>
            <w:right w:val="none" w:sz="0" w:space="0" w:color="auto"/>
          </w:divBdr>
        </w:div>
        <w:div w:id="232663070">
          <w:marLeft w:val="0"/>
          <w:marRight w:val="0"/>
          <w:marTop w:val="0"/>
          <w:marBottom w:val="0"/>
          <w:divBdr>
            <w:top w:val="none" w:sz="0" w:space="0" w:color="auto"/>
            <w:left w:val="none" w:sz="0" w:space="0" w:color="auto"/>
            <w:bottom w:val="none" w:sz="0" w:space="0" w:color="auto"/>
            <w:right w:val="none" w:sz="0" w:space="0" w:color="auto"/>
          </w:divBdr>
        </w:div>
        <w:div w:id="558132689">
          <w:marLeft w:val="0"/>
          <w:marRight w:val="0"/>
          <w:marTop w:val="0"/>
          <w:marBottom w:val="0"/>
          <w:divBdr>
            <w:top w:val="none" w:sz="0" w:space="0" w:color="auto"/>
            <w:left w:val="none" w:sz="0" w:space="0" w:color="auto"/>
            <w:bottom w:val="none" w:sz="0" w:space="0" w:color="auto"/>
            <w:right w:val="none" w:sz="0" w:space="0" w:color="auto"/>
          </w:divBdr>
        </w:div>
        <w:div w:id="175313525">
          <w:marLeft w:val="0"/>
          <w:marRight w:val="0"/>
          <w:marTop w:val="0"/>
          <w:marBottom w:val="0"/>
          <w:divBdr>
            <w:top w:val="none" w:sz="0" w:space="0" w:color="auto"/>
            <w:left w:val="none" w:sz="0" w:space="0" w:color="auto"/>
            <w:bottom w:val="none" w:sz="0" w:space="0" w:color="auto"/>
            <w:right w:val="none" w:sz="0" w:space="0" w:color="auto"/>
          </w:divBdr>
        </w:div>
      </w:divsChild>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 w:id="1979677257">
      <w:bodyDiv w:val="1"/>
      <w:marLeft w:val="0"/>
      <w:marRight w:val="0"/>
      <w:marTop w:val="0"/>
      <w:marBottom w:val="0"/>
      <w:divBdr>
        <w:top w:val="none" w:sz="0" w:space="0" w:color="auto"/>
        <w:left w:val="none" w:sz="0" w:space="0" w:color="auto"/>
        <w:bottom w:val="none" w:sz="0" w:space="0" w:color="auto"/>
        <w:right w:val="none" w:sz="0" w:space="0" w:color="auto"/>
      </w:divBdr>
      <w:divsChild>
        <w:div w:id="475225564">
          <w:marLeft w:val="0"/>
          <w:marRight w:val="0"/>
          <w:marTop w:val="0"/>
          <w:marBottom w:val="0"/>
          <w:divBdr>
            <w:top w:val="none" w:sz="0" w:space="0" w:color="auto"/>
            <w:left w:val="none" w:sz="0" w:space="0" w:color="auto"/>
            <w:bottom w:val="none" w:sz="0" w:space="0" w:color="auto"/>
            <w:right w:val="none" w:sz="0" w:space="0" w:color="auto"/>
          </w:divBdr>
        </w:div>
        <w:div w:id="1816222189">
          <w:marLeft w:val="0"/>
          <w:marRight w:val="0"/>
          <w:marTop w:val="0"/>
          <w:marBottom w:val="0"/>
          <w:divBdr>
            <w:top w:val="none" w:sz="0" w:space="0" w:color="auto"/>
            <w:left w:val="none" w:sz="0" w:space="0" w:color="auto"/>
            <w:bottom w:val="none" w:sz="0" w:space="0" w:color="auto"/>
            <w:right w:val="none" w:sz="0" w:space="0" w:color="auto"/>
          </w:divBdr>
        </w:div>
      </w:divsChild>
    </w:div>
    <w:div w:id="21285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DF1E3D94B8A940BC4468372AA43F53" ma:contentTypeVersion="15" ma:contentTypeDescription="Create a new document." ma:contentTypeScope="" ma:versionID="93cfff4406bf4556886fa5ee37865bd6">
  <xsd:schema xmlns:xsd="http://www.w3.org/2001/XMLSchema" xmlns:xs="http://www.w3.org/2001/XMLSchema" xmlns:p="http://schemas.microsoft.com/office/2006/metadata/properties" xmlns:ns1="http://schemas.microsoft.com/sharepoint/v3" xmlns:ns3="26307fb2-a020-4ad6-9bc6-80873aa9a3d1" xmlns:ns4="1f367971-10df-4088-b7a4-cbf46e8c9724" targetNamespace="http://schemas.microsoft.com/office/2006/metadata/properties" ma:root="true" ma:fieldsID="6b1605003c9fa6c91a282faa877a4b04" ns1:_="" ns3:_="" ns4:_="">
    <xsd:import namespace="http://schemas.microsoft.com/sharepoint/v3"/>
    <xsd:import namespace="26307fb2-a020-4ad6-9bc6-80873aa9a3d1"/>
    <xsd:import namespace="1f367971-10df-4088-b7a4-cbf46e8c97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07fb2-a020-4ad6-9bc6-80873aa9a3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67971-10df-4088-b7a4-cbf46e8c97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4.xml><?xml version="1.0" encoding="utf-8"?>
<ds:datastoreItem xmlns:ds="http://schemas.openxmlformats.org/officeDocument/2006/customXml" ds:itemID="{F91B161A-36B6-4E52-8BAB-18E568FE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307fb2-a020-4ad6-9bc6-80873aa9a3d1"/>
    <ds:schemaRef ds:uri="1f367971-10df-4088-b7a4-cbf46e8c9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3005</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Ian Winterflood</cp:lastModifiedBy>
  <cp:revision>3</cp:revision>
  <dcterms:created xsi:type="dcterms:W3CDTF">2025-10-15T10:51:00Z</dcterms:created>
  <dcterms:modified xsi:type="dcterms:W3CDTF">2025-10-15T10:52:00Z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0x01010014DF1E3D94B8A940BC4468372AA43F53</vt:lpwstr>
  </property>
  <property fmtid="{D5CDD505-2E9C-101B-9397-08002B2CF9AE}" pid="14" name="_dlc_policyId">
    <vt:lpwstr>0x0101</vt:lpwstr>
  </property>
  <property fmtid="{D5CDD505-2E9C-101B-9397-08002B2CF9AE}" pid="15" name="ItemRetentionFormula">
    <vt:lpwstr/>
  </property>
</Properties>
</file>